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1C48" w14:textId="3F6EFAB4" w:rsidR="008756A3" w:rsidRPr="008A1FB1" w:rsidRDefault="007F76D1" w:rsidP="008A1FB1">
      <w:pPr>
        <w:pStyle w:val="Heading1"/>
      </w:pPr>
      <w:bookmarkStart w:id="0" w:name="_Toc34587733"/>
      <w:r>
        <w:t xml:space="preserve">RTO </w:t>
      </w:r>
      <w:r w:rsidR="009543D0" w:rsidRPr="0062032E">
        <w:t xml:space="preserve">Complaints </w:t>
      </w:r>
      <w:bookmarkStart w:id="1" w:name="_Hlk65754793"/>
      <w:r w:rsidR="008756A3" w:rsidRPr="0062032E">
        <w:t>Policy</w:t>
      </w:r>
      <w:bookmarkEnd w:id="0"/>
      <w:r w:rsidR="008756A3" w:rsidRPr="008A1FB1">
        <w:t xml:space="preserve"> </w:t>
      </w:r>
    </w:p>
    <w:p w14:paraId="169F6901" w14:textId="714E05BA" w:rsidR="008756A3" w:rsidRPr="00CF53B9" w:rsidRDefault="008756A3" w:rsidP="00BF0DA4">
      <w:pPr>
        <w:pStyle w:val="Heading2"/>
      </w:pPr>
      <w:bookmarkStart w:id="2" w:name="_Hlk65754829"/>
      <w:r w:rsidRPr="00CF53B9">
        <w:t xml:space="preserve">Intent </w:t>
      </w:r>
      <w:bookmarkEnd w:id="1"/>
      <w:r w:rsidR="004D4BEE" w:rsidRPr="00CF53B9">
        <w:tab/>
      </w:r>
    </w:p>
    <w:p w14:paraId="7499E2E7" w14:textId="563D3102" w:rsidR="00B130B8" w:rsidRPr="00B130B8" w:rsidRDefault="009543D0" w:rsidP="00B130B8">
      <w:pPr>
        <w:pStyle w:val="ListParagraph"/>
        <w:numPr>
          <w:ilvl w:val="1"/>
          <w:numId w:val="25"/>
        </w:numPr>
        <w:rPr>
          <w:u w:color="000000"/>
          <w:lang w:eastAsia="en-AU"/>
        </w:rPr>
      </w:pPr>
      <w:r w:rsidRPr="00B130B8">
        <w:rPr>
          <w:u w:color="000000"/>
          <w:lang w:eastAsia="en-AU"/>
        </w:rPr>
        <w:t xml:space="preserve">The intent of this policy is to ensure that all complaints </w:t>
      </w:r>
      <w:r w:rsidR="007F76D1" w:rsidRPr="00B130B8">
        <w:rPr>
          <w:u w:color="000000"/>
          <w:lang w:eastAsia="en-AU"/>
        </w:rPr>
        <w:t xml:space="preserve">in relation to Avidity Training and Development (RTO), it’s trainers, assessors or other staff </w:t>
      </w:r>
      <w:bookmarkStart w:id="3" w:name="_Hlk65754890"/>
      <w:bookmarkEnd w:id="2"/>
      <w:r w:rsidR="00B130B8" w:rsidRPr="00B130B8">
        <w:rPr>
          <w:u w:color="000000"/>
          <w:lang w:eastAsia="en-AU"/>
        </w:rPr>
        <w:t>are handle</w:t>
      </w:r>
      <w:r w:rsidR="00B130B8">
        <w:rPr>
          <w:u w:color="000000"/>
          <w:lang w:eastAsia="en-AU"/>
        </w:rPr>
        <w:t>d</w:t>
      </w:r>
      <w:r w:rsidR="00B130B8" w:rsidRPr="00B130B8">
        <w:rPr>
          <w:u w:color="000000"/>
          <w:lang w:eastAsia="en-AU"/>
        </w:rPr>
        <w:t xml:space="preserve"> in a systematic, objective, </w:t>
      </w:r>
      <w:r w:rsidR="00B130B8">
        <w:rPr>
          <w:u w:color="000000"/>
          <w:lang w:eastAsia="en-AU"/>
        </w:rPr>
        <w:t>efficient</w:t>
      </w:r>
      <w:r w:rsidR="00B130B8" w:rsidRPr="00B130B8">
        <w:rPr>
          <w:u w:color="000000"/>
          <w:lang w:eastAsia="en-AU"/>
        </w:rPr>
        <w:t xml:space="preserve"> and fair manner.  This policy also ensures compliance with the Standards for Registered Training Organisations</w:t>
      </w:r>
      <w:bookmarkStart w:id="4" w:name="_GoBack"/>
      <w:bookmarkEnd w:id="4"/>
      <w:r w:rsidR="00B130B8" w:rsidRPr="00B130B8">
        <w:rPr>
          <w:u w:color="000000"/>
          <w:lang w:eastAsia="en-AU"/>
        </w:rPr>
        <w:t>.</w:t>
      </w:r>
    </w:p>
    <w:p w14:paraId="0FF17655" w14:textId="1CA9E30A" w:rsidR="00E165BC" w:rsidRPr="00BF0DA4" w:rsidRDefault="008756A3" w:rsidP="00B130B8">
      <w:pPr>
        <w:pStyle w:val="Heading2"/>
      </w:pPr>
      <w:r w:rsidRPr="00BF0DA4">
        <w:t xml:space="preserve">Definitions </w:t>
      </w:r>
      <w:bookmarkStart w:id="5" w:name="_Hlk65754913"/>
    </w:p>
    <w:p w14:paraId="580A92A1" w14:textId="77777777" w:rsidR="007C2809" w:rsidRPr="00903F8A" w:rsidRDefault="007C2809" w:rsidP="007C2809">
      <w:pPr>
        <w:pStyle w:val="Heading2"/>
        <w:numPr>
          <w:ilvl w:val="1"/>
          <w:numId w:val="19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bookmarkStart w:id="6" w:name="_Hlk78640945"/>
      <w:bookmarkStart w:id="7" w:name="_Hlk65754946"/>
      <w:bookmarkEnd w:id="3"/>
      <w:bookmarkEnd w:id="5"/>
      <w:r w:rsidRPr="00903F8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For the purposes of clarity, the Avidity Group maintains a Glossary Handbook of term, acronyms and common abbreviations. </w:t>
      </w:r>
    </w:p>
    <w:bookmarkEnd w:id="6"/>
    <w:p w14:paraId="1CA33F8F" w14:textId="60A2FFA9" w:rsidR="00E165BC" w:rsidRPr="00CF53B9" w:rsidRDefault="008756A3" w:rsidP="00BF0DA4">
      <w:pPr>
        <w:pStyle w:val="Heading2"/>
      </w:pPr>
      <w:r w:rsidRPr="00CF53B9">
        <w:t xml:space="preserve">Scope </w:t>
      </w:r>
    </w:p>
    <w:p w14:paraId="6836D434" w14:textId="453C0F49" w:rsidR="00E165BC" w:rsidRPr="00B130B8" w:rsidRDefault="0062032E" w:rsidP="0062032E">
      <w:pPr>
        <w:ind w:left="720" w:hanging="360"/>
        <w:rPr>
          <w:u w:color="000000"/>
          <w:lang w:eastAsia="en-AU"/>
        </w:rPr>
      </w:pPr>
      <w:bookmarkStart w:id="8" w:name="_Hlk79336731"/>
      <w:r w:rsidRPr="00B130B8">
        <w:rPr>
          <w:u w:color="000000"/>
          <w:lang w:eastAsia="en-AU"/>
        </w:rPr>
        <w:t>3.1</w:t>
      </w:r>
      <w:r w:rsidRPr="00B130B8">
        <w:rPr>
          <w:u w:color="000000"/>
          <w:lang w:eastAsia="en-AU"/>
        </w:rPr>
        <w:tab/>
        <w:t xml:space="preserve">This policy applies to all Avidity </w:t>
      </w:r>
      <w:r w:rsidR="00B130B8" w:rsidRPr="00B130B8">
        <w:rPr>
          <w:u w:color="000000"/>
          <w:lang w:eastAsia="en-AU"/>
        </w:rPr>
        <w:t xml:space="preserve">Training and Development </w:t>
      </w:r>
      <w:r w:rsidRPr="00B130B8">
        <w:rPr>
          <w:u w:color="000000"/>
          <w:lang w:eastAsia="en-AU"/>
        </w:rPr>
        <w:t xml:space="preserve">Personnel, learners, clients and other </w:t>
      </w:r>
      <w:r w:rsidR="00FE0788">
        <w:rPr>
          <w:u w:color="000000"/>
          <w:lang w:eastAsia="en-AU"/>
        </w:rPr>
        <w:t>stakeholders</w:t>
      </w:r>
      <w:r w:rsidRPr="00B130B8">
        <w:rPr>
          <w:u w:color="000000"/>
          <w:lang w:eastAsia="en-AU"/>
        </w:rPr>
        <w:t>.</w:t>
      </w:r>
    </w:p>
    <w:p w14:paraId="20593727" w14:textId="19A59A6D" w:rsidR="00E165BC" w:rsidRPr="00CF53B9" w:rsidRDefault="008756A3" w:rsidP="00BF0DA4">
      <w:pPr>
        <w:pStyle w:val="Heading2"/>
      </w:pPr>
      <w:bookmarkStart w:id="9" w:name="_Hlk65754982"/>
      <w:bookmarkEnd w:id="7"/>
      <w:bookmarkEnd w:id="8"/>
      <w:r w:rsidRPr="00CF53B9">
        <w:t xml:space="preserve">Policy Statement </w:t>
      </w:r>
      <w:bookmarkStart w:id="10" w:name="_Hlk65755137"/>
      <w:bookmarkEnd w:id="9"/>
    </w:p>
    <w:p w14:paraId="5E768063" w14:textId="0800A712" w:rsidR="00B130B8" w:rsidRDefault="0062032E" w:rsidP="00B130B8">
      <w:pPr>
        <w:ind w:left="716" w:hanging="356"/>
      </w:pPr>
      <w:r>
        <w:rPr>
          <w:u w:color="000000"/>
          <w:lang w:eastAsia="en-AU"/>
        </w:rPr>
        <w:t>4.1</w:t>
      </w:r>
      <w:r>
        <w:rPr>
          <w:u w:color="000000"/>
          <w:lang w:eastAsia="en-AU"/>
        </w:rPr>
        <w:tab/>
      </w:r>
      <w:r w:rsidR="00B130B8" w:rsidRPr="00B130B8">
        <w:tab/>
        <w:t>Avidity Training and Development (RTO) recognises the rights of</w:t>
      </w:r>
      <w:r w:rsidR="00B130B8">
        <w:t xml:space="preserve"> </w:t>
      </w:r>
      <w:r w:rsidR="003D71D9">
        <w:t>all parties</w:t>
      </w:r>
      <w:r w:rsidR="00B130B8">
        <w:t xml:space="preserve"> to make a compliant relating to the behaviour or conduct of:</w:t>
      </w:r>
    </w:p>
    <w:p w14:paraId="7813E5CF" w14:textId="15256296" w:rsidR="00E87C06" w:rsidRDefault="00B130B8" w:rsidP="00FE0788">
      <w:pPr>
        <w:pStyle w:val="ListParagraph"/>
        <w:numPr>
          <w:ilvl w:val="0"/>
          <w:numId w:val="26"/>
        </w:numPr>
        <w:ind w:left="1560" w:hanging="426"/>
      </w:pPr>
      <w:r>
        <w:t>Avidity Training and Development (RTO)</w:t>
      </w:r>
      <w:r w:rsidR="00E87C06">
        <w:t>, its</w:t>
      </w:r>
      <w:r>
        <w:t xml:space="preserve"> trainers, assessors or other staff</w:t>
      </w:r>
      <w:r w:rsidR="003D71D9">
        <w:t>;</w:t>
      </w:r>
      <w:r w:rsidRPr="00B130B8">
        <w:t xml:space="preserve"> </w:t>
      </w:r>
      <w:r w:rsidR="003D71D9">
        <w:t>or</w:t>
      </w:r>
    </w:p>
    <w:p w14:paraId="5CB97413" w14:textId="1C57BFC5" w:rsidR="00B130B8" w:rsidRDefault="00E87C06" w:rsidP="00FE0788">
      <w:pPr>
        <w:pStyle w:val="ListParagraph"/>
        <w:numPr>
          <w:ilvl w:val="0"/>
          <w:numId w:val="26"/>
        </w:numPr>
        <w:ind w:left="1560" w:hanging="426"/>
      </w:pPr>
      <w:r>
        <w:t>A</w:t>
      </w:r>
      <w:r w:rsidR="003D71D9">
        <w:t>nother</w:t>
      </w:r>
      <w:r>
        <w:t xml:space="preserve"> learner of the RTO</w:t>
      </w:r>
      <w:r w:rsidR="003D71D9">
        <w:t>; or</w:t>
      </w:r>
    </w:p>
    <w:p w14:paraId="1B538661" w14:textId="24927548" w:rsidR="00B130B8" w:rsidRPr="003D71D9" w:rsidRDefault="00B130B8" w:rsidP="00FE0788">
      <w:pPr>
        <w:pStyle w:val="ListParagraph"/>
        <w:numPr>
          <w:ilvl w:val="0"/>
          <w:numId w:val="26"/>
        </w:numPr>
        <w:ind w:left="1560" w:hanging="426"/>
        <w:rPr>
          <w:u w:color="000000"/>
          <w:lang w:eastAsia="en-AU"/>
        </w:rPr>
      </w:pPr>
      <w:r>
        <w:t>A Third-party providing services on the RTO’s behalf</w:t>
      </w:r>
      <w:r w:rsidR="003D71D9">
        <w:t>, it’s trainers, assessors or other staff.</w:t>
      </w:r>
      <w:r w:rsidRPr="00B130B8">
        <w:t xml:space="preserve"> </w:t>
      </w:r>
    </w:p>
    <w:p w14:paraId="39838AFE" w14:textId="6E3DEDEB" w:rsidR="003D71D9" w:rsidRPr="003D71D9" w:rsidRDefault="003D71D9" w:rsidP="003D71D9">
      <w:pPr>
        <w:ind w:left="716" w:hanging="432"/>
        <w:rPr>
          <w:color w:val="FF0000"/>
        </w:rPr>
      </w:pPr>
      <w:r w:rsidRPr="003D71D9">
        <w:t>4.2</w:t>
      </w:r>
      <w:r w:rsidRPr="003D71D9">
        <w:tab/>
        <w:t xml:space="preserve">Avidity Training and Development provides </w:t>
      </w:r>
      <w:r>
        <w:t>all parties</w:t>
      </w:r>
      <w:r w:rsidRPr="003D71D9">
        <w:t xml:space="preserve"> with the opportunity to submit a</w:t>
      </w:r>
      <w:r>
        <w:t xml:space="preserve"> complaint</w:t>
      </w:r>
      <w:r w:rsidRPr="003D71D9">
        <w:t xml:space="preserve"> in writing by completing a</w:t>
      </w:r>
      <w:r w:rsidR="00F15EA9">
        <w:t xml:space="preserve"> </w:t>
      </w:r>
      <w:bookmarkStart w:id="11" w:name="_Hlk79340958"/>
      <w:r w:rsidR="00F15EA9">
        <w:fldChar w:fldCharType="begin"/>
      </w:r>
      <w:r w:rsidR="00F15EA9">
        <w:instrText xml:space="preserve"> HYPERLINK "../FRM/RTO%20Complaint%20OPP-FRM005.docx" </w:instrText>
      </w:r>
      <w:r w:rsidR="00F15EA9">
        <w:fldChar w:fldCharType="separate"/>
      </w:r>
      <w:r w:rsidRPr="00F15EA9">
        <w:rPr>
          <w:rStyle w:val="Hyperlink"/>
        </w:rPr>
        <w:t>Complaint</w:t>
      </w:r>
      <w:r w:rsidR="005953C5">
        <w:rPr>
          <w:rStyle w:val="Hyperlink"/>
        </w:rPr>
        <w:t xml:space="preserve"> and Appeal</w:t>
      </w:r>
      <w:r w:rsidRPr="00F15EA9">
        <w:rPr>
          <w:rStyle w:val="Hyperlink"/>
        </w:rPr>
        <w:t xml:space="preserve"> Form</w:t>
      </w:r>
      <w:r w:rsidR="00F15EA9">
        <w:fldChar w:fldCharType="end"/>
      </w:r>
      <w:r w:rsidRPr="003D71D9">
        <w:rPr>
          <w:color w:val="FF0000"/>
        </w:rPr>
        <w:t xml:space="preserve"> </w:t>
      </w:r>
      <w:r w:rsidRPr="003D71D9">
        <w:t xml:space="preserve">in accordance with the </w:t>
      </w:r>
      <w:bookmarkStart w:id="12" w:name="_Hlk81763638"/>
      <w:r w:rsidR="0087615A">
        <w:fldChar w:fldCharType="begin"/>
      </w:r>
      <w:r w:rsidR="0087615A">
        <w:instrText xml:space="preserve"> HYPERLINK "../PRS/RTO%20Compliants%20and%20Appeals%20Management%20OPP-PRS027.docx" </w:instrText>
      </w:r>
      <w:r w:rsidR="0087615A">
        <w:fldChar w:fldCharType="separate"/>
      </w:r>
      <w:r w:rsidR="00A753B9" w:rsidRPr="00F15EA9">
        <w:rPr>
          <w:rStyle w:val="Hyperlink"/>
        </w:rPr>
        <w:t xml:space="preserve">RTO </w:t>
      </w:r>
      <w:r w:rsidRPr="00F15EA9">
        <w:rPr>
          <w:rStyle w:val="Hyperlink"/>
        </w:rPr>
        <w:t xml:space="preserve">Complaints and </w:t>
      </w:r>
      <w:r w:rsidR="00A753B9" w:rsidRPr="00F15EA9">
        <w:rPr>
          <w:rStyle w:val="Hyperlink"/>
        </w:rPr>
        <w:t>Appeals Management Process.</w:t>
      </w:r>
      <w:r w:rsidR="0087615A">
        <w:rPr>
          <w:rStyle w:val="Hyperlink"/>
        </w:rPr>
        <w:fldChar w:fldCharType="end"/>
      </w:r>
    </w:p>
    <w:p w14:paraId="4A5C6E01" w14:textId="1DEA3895" w:rsidR="004218E9" w:rsidRDefault="003D71D9" w:rsidP="004218E9">
      <w:pPr>
        <w:spacing w:line="256" w:lineRule="auto"/>
        <w:ind w:left="716" w:hanging="432"/>
      </w:pPr>
      <w:bookmarkStart w:id="13" w:name="_Hlk82360028"/>
      <w:bookmarkEnd w:id="12"/>
      <w:r w:rsidRPr="003D71D9">
        <w:t>4.3</w:t>
      </w:r>
      <w:r w:rsidRPr="003D71D9">
        <w:tab/>
      </w:r>
      <w:r w:rsidR="004218E9" w:rsidRPr="003D71D9">
        <w:t>Avidity Training and Development</w:t>
      </w:r>
      <w:r w:rsidR="004218E9">
        <w:t xml:space="preserve"> ensure that the principles of natural justice and procedural fairness are applied at every stage of the complaint process by ensuring:</w:t>
      </w:r>
    </w:p>
    <w:p w14:paraId="56F4F753" w14:textId="53258EA9" w:rsidR="004218E9" w:rsidRDefault="003472E7" w:rsidP="003472E7">
      <w:pPr>
        <w:pStyle w:val="ListParagraph"/>
        <w:numPr>
          <w:ilvl w:val="1"/>
          <w:numId w:val="32"/>
        </w:numPr>
        <w:spacing w:line="256" w:lineRule="auto"/>
        <w:ind w:left="1134" w:firstLine="0"/>
        <w:jc w:val="both"/>
      </w:pPr>
      <w:r>
        <w:t xml:space="preserve">   </w:t>
      </w:r>
      <w:r w:rsidR="004218E9">
        <w:t>all parties will be provided adequate notice regarding each stage of the process;</w:t>
      </w:r>
    </w:p>
    <w:p w14:paraId="0EC118A0" w14:textId="3736FA1A" w:rsidR="004218E9" w:rsidRDefault="003472E7" w:rsidP="003472E7">
      <w:pPr>
        <w:pStyle w:val="ListParagraph"/>
        <w:numPr>
          <w:ilvl w:val="1"/>
          <w:numId w:val="32"/>
        </w:numPr>
        <w:spacing w:line="256" w:lineRule="auto"/>
        <w:ind w:left="1134" w:firstLine="0"/>
        <w:jc w:val="both"/>
      </w:pPr>
      <w:r>
        <w:t xml:space="preserve">   </w:t>
      </w:r>
      <w:r w:rsidR="004218E9">
        <w:t xml:space="preserve">that no bias is brought to the decision-making process; and </w:t>
      </w:r>
    </w:p>
    <w:p w14:paraId="20DA7410" w14:textId="102D5C34" w:rsidR="004218E9" w:rsidRDefault="003472E7" w:rsidP="003472E7">
      <w:pPr>
        <w:pStyle w:val="ListParagraph"/>
        <w:numPr>
          <w:ilvl w:val="1"/>
          <w:numId w:val="32"/>
        </w:numPr>
        <w:spacing w:line="256" w:lineRule="auto"/>
        <w:ind w:left="1134" w:firstLine="0"/>
        <w:jc w:val="both"/>
      </w:pPr>
      <w:r>
        <w:t xml:space="preserve">   </w:t>
      </w:r>
      <w:r w:rsidR="004218E9">
        <w:t>all parties are provided a fair hearing.</w:t>
      </w:r>
    </w:p>
    <w:p w14:paraId="067802D3" w14:textId="62B3F636" w:rsidR="003D71D9" w:rsidRPr="003D71D9" w:rsidRDefault="004218E9" w:rsidP="003D71D9">
      <w:pPr>
        <w:ind w:left="716" w:hanging="432"/>
      </w:pPr>
      <w:bookmarkStart w:id="14" w:name="_Hlk82359469"/>
      <w:bookmarkEnd w:id="13"/>
      <w:r>
        <w:t>4.4</w:t>
      </w:r>
      <w:r>
        <w:tab/>
      </w:r>
      <w:r w:rsidR="003D71D9" w:rsidRPr="003D71D9">
        <w:t xml:space="preserve">Avidity Training and Development </w:t>
      </w:r>
      <w:bookmarkEnd w:id="14"/>
      <w:r w:rsidR="003D71D9" w:rsidRPr="003D71D9">
        <w:t>implements the RTO Complaints and Appeals Management Process to ensure:</w:t>
      </w:r>
    </w:p>
    <w:p w14:paraId="3B8F2E34" w14:textId="1B9FC804" w:rsidR="003D71D9" w:rsidRPr="003D71D9" w:rsidRDefault="003D71D9" w:rsidP="00FE0788">
      <w:pPr>
        <w:pStyle w:val="ListParagraph"/>
        <w:numPr>
          <w:ilvl w:val="0"/>
          <w:numId w:val="28"/>
        </w:numPr>
        <w:ind w:left="1560" w:hanging="426"/>
      </w:pPr>
      <w:r w:rsidRPr="003D71D9">
        <w:t xml:space="preserve">receipt of all </w:t>
      </w:r>
      <w:r>
        <w:t xml:space="preserve">complaints </w:t>
      </w:r>
      <w:r w:rsidR="003472E7">
        <w:t>is</w:t>
      </w:r>
      <w:r w:rsidRPr="003D71D9">
        <w:t xml:space="preserve"> acknowledged in writing</w:t>
      </w:r>
      <w:r w:rsidR="004218E9">
        <w:t xml:space="preserve"> </w:t>
      </w:r>
      <w:bookmarkStart w:id="15" w:name="_Hlk82360073"/>
      <w:r w:rsidR="004218E9">
        <w:t>and finalised as soon as practicable.</w:t>
      </w:r>
      <w:bookmarkEnd w:id="15"/>
    </w:p>
    <w:p w14:paraId="7EEC4705" w14:textId="21927EE0" w:rsidR="003D71D9" w:rsidRPr="003D71D9" w:rsidRDefault="003D71D9" w:rsidP="00FE0788">
      <w:pPr>
        <w:numPr>
          <w:ilvl w:val="0"/>
          <w:numId w:val="28"/>
        </w:numPr>
        <w:ind w:left="1560" w:hanging="426"/>
        <w:contextualSpacing/>
      </w:pPr>
      <w:r w:rsidRPr="003D71D9">
        <w:t>a</w:t>
      </w:r>
      <w:r>
        <w:t xml:space="preserve"> </w:t>
      </w:r>
      <w:r w:rsidRPr="003D71D9">
        <w:t xml:space="preserve">Register is securely maintained to record all correspondence and records </w:t>
      </w:r>
    </w:p>
    <w:p w14:paraId="496D8B9E" w14:textId="3EC6FCE9" w:rsidR="003D71D9" w:rsidRPr="003D71D9" w:rsidRDefault="003D71D9" w:rsidP="00FE0788">
      <w:pPr>
        <w:numPr>
          <w:ilvl w:val="0"/>
          <w:numId w:val="28"/>
        </w:numPr>
        <w:ind w:left="1560" w:hanging="426"/>
        <w:contextualSpacing/>
      </w:pPr>
      <w:r w:rsidRPr="003D71D9">
        <w:t xml:space="preserve">the </w:t>
      </w:r>
      <w:r w:rsidR="0050174D">
        <w:t>Complainant</w:t>
      </w:r>
      <w:r w:rsidRPr="003D71D9">
        <w:t xml:space="preserve"> is advised in writing if we consider that more than 60 calendar days are required to process and finalise the </w:t>
      </w:r>
      <w:r w:rsidR="0050174D">
        <w:t>complaint</w:t>
      </w:r>
      <w:r w:rsidRPr="003D71D9">
        <w:t>, including the reasons for the delay</w:t>
      </w:r>
    </w:p>
    <w:p w14:paraId="0A920F88" w14:textId="3267E9C9" w:rsidR="003D71D9" w:rsidRPr="003D71D9" w:rsidRDefault="003D71D9" w:rsidP="00FE0788">
      <w:pPr>
        <w:numPr>
          <w:ilvl w:val="0"/>
          <w:numId w:val="28"/>
        </w:numPr>
        <w:ind w:left="1560" w:hanging="426"/>
        <w:contextualSpacing/>
      </w:pPr>
      <w:bookmarkStart w:id="16" w:name="_Hlk82441181"/>
      <w:r w:rsidRPr="003D71D9">
        <w:t xml:space="preserve">if this process fails to resolve the </w:t>
      </w:r>
      <w:r w:rsidR="0050174D">
        <w:t>complaint,</w:t>
      </w:r>
      <w:r w:rsidRPr="003D71D9">
        <w:t xml:space="preserve"> </w:t>
      </w:r>
      <w:r w:rsidR="0068505F">
        <w:t>we</w:t>
      </w:r>
      <w:r w:rsidR="0068505F" w:rsidRPr="0068505F">
        <w:t xml:space="preserve"> will provide for review by an </w:t>
      </w:r>
      <w:bookmarkStart w:id="17" w:name="_Hlk82441760"/>
      <w:r w:rsidR="0068505F" w:rsidRPr="0068505F">
        <w:t>appropriate party independent of the RTO and the complainant</w:t>
      </w:r>
      <w:bookmarkEnd w:id="17"/>
      <w:r w:rsidR="0068505F">
        <w:t>,</w:t>
      </w:r>
      <w:r w:rsidR="0068505F" w:rsidRPr="0068505F">
        <w:t xml:space="preserve"> at the request of the complain</w:t>
      </w:r>
      <w:r w:rsidR="0068505F">
        <w:t>ant.</w:t>
      </w:r>
      <w:r w:rsidR="0068505F" w:rsidRPr="0068505F">
        <w:t xml:space="preserve"> </w:t>
      </w:r>
    </w:p>
    <w:bookmarkEnd w:id="16"/>
    <w:p w14:paraId="206A93CC" w14:textId="1E608DB3" w:rsidR="003D71D9" w:rsidRPr="003D71D9" w:rsidRDefault="003D71D9" w:rsidP="003D71D9">
      <w:pPr>
        <w:ind w:left="716" w:hanging="432"/>
        <w:rPr>
          <w:color w:val="FF0000"/>
        </w:rPr>
      </w:pPr>
      <w:r w:rsidRPr="003D71D9">
        <w:t>4.</w:t>
      </w:r>
      <w:r w:rsidR="004218E9">
        <w:t>5</w:t>
      </w:r>
      <w:r w:rsidRPr="003D71D9">
        <w:tab/>
      </w:r>
      <w:r w:rsidRPr="003D71D9">
        <w:tab/>
        <w:t xml:space="preserve">All </w:t>
      </w:r>
      <w:r w:rsidR="002071D2">
        <w:t>complaints</w:t>
      </w:r>
      <w:r w:rsidRPr="003D71D9">
        <w:t xml:space="preserve"> are reviewed at the </w:t>
      </w:r>
      <w:r w:rsidR="002071D2">
        <w:t>Executive Meeting</w:t>
      </w:r>
      <w:r w:rsidRPr="003D71D9">
        <w:t xml:space="preserve">s as a Standing Agenda item in accordance with our </w:t>
      </w:r>
      <w:hyperlink r:id="rId8" w:history="1">
        <w:r w:rsidRPr="00F15EA9">
          <w:rPr>
            <w:rStyle w:val="Hyperlink"/>
          </w:rPr>
          <w:t>Formal Meeting Policy.</w:t>
        </w:r>
      </w:hyperlink>
    </w:p>
    <w:p w14:paraId="3924DBEF" w14:textId="2EA8C29C" w:rsidR="003D71D9" w:rsidRDefault="003D71D9" w:rsidP="00F232D4">
      <w:pPr>
        <w:ind w:left="709" w:hanging="425"/>
        <w:rPr>
          <w:color w:val="FF0000"/>
        </w:rPr>
      </w:pPr>
      <w:r w:rsidRPr="003D71D9">
        <w:t>4.</w:t>
      </w:r>
      <w:r w:rsidR="004218E9">
        <w:t>6</w:t>
      </w:r>
      <w:r w:rsidRPr="003D71D9">
        <w:t xml:space="preserve"> </w:t>
      </w:r>
      <w:r w:rsidRPr="003D71D9">
        <w:tab/>
        <w:t xml:space="preserve">All </w:t>
      </w:r>
      <w:r w:rsidR="00D67445">
        <w:t>complaints</w:t>
      </w:r>
      <w:r w:rsidRPr="003D71D9">
        <w:t xml:space="preserve"> will be reviewed to identify the cause and consider if there needs to be action taken to eliminate or mitigate any future risk </w:t>
      </w:r>
      <w:r w:rsidR="00DB140F">
        <w:t>of complaints</w:t>
      </w:r>
      <w:r w:rsidRPr="003D71D9">
        <w:t xml:space="preserve"> in accordance with our </w:t>
      </w:r>
      <w:hyperlink r:id="rId9" w:history="1">
        <w:r w:rsidRPr="00FE0788">
          <w:rPr>
            <w:rStyle w:val="Hyperlink"/>
          </w:rPr>
          <w:t xml:space="preserve">Risk Management Policy. </w:t>
        </w:r>
      </w:hyperlink>
      <w:r w:rsidRPr="00DB140F">
        <w:t xml:space="preserve"> </w:t>
      </w:r>
      <w:r w:rsidRPr="003D71D9">
        <w:t xml:space="preserve">All agreed actions are implemented and monitored in accordance with our </w:t>
      </w:r>
      <w:hyperlink r:id="rId10" w:history="1">
        <w:r w:rsidRPr="00F15EA9">
          <w:rPr>
            <w:rStyle w:val="Hyperlink"/>
          </w:rPr>
          <w:t xml:space="preserve">Continuous Improvement Policy. </w:t>
        </w:r>
        <w:r w:rsidR="00A753B9" w:rsidRPr="00F15EA9">
          <w:rPr>
            <w:rStyle w:val="Hyperlink"/>
          </w:rPr>
          <w:t xml:space="preserve"> </w:t>
        </w:r>
      </w:hyperlink>
      <w:r w:rsidRPr="003D71D9">
        <w:rPr>
          <w:color w:val="FF0000"/>
        </w:rPr>
        <w:t xml:space="preserve"> </w:t>
      </w:r>
    </w:p>
    <w:p w14:paraId="28ABEEB1" w14:textId="4DA5EE06" w:rsidR="00F232D4" w:rsidRPr="003D71D9" w:rsidRDefault="00F232D4" w:rsidP="00F232D4">
      <w:pPr>
        <w:ind w:left="709" w:hanging="425"/>
        <w:rPr>
          <w:color w:val="FF0000"/>
        </w:rPr>
      </w:pPr>
      <w:bookmarkStart w:id="18" w:name="_Hlk80525514"/>
      <w:r>
        <w:t>4.</w:t>
      </w:r>
      <w:r w:rsidR="004218E9">
        <w:t>7</w:t>
      </w:r>
      <w:r>
        <w:tab/>
        <w:t xml:space="preserve">If a stakeholder requests a review of decisions, including assessment decisions, made by the RTO or a third party, this is different to a complaint and must be managed in accordance to the </w:t>
      </w:r>
      <w:bookmarkStart w:id="19" w:name="_Hlk80524878"/>
      <w:r>
        <w:fldChar w:fldCharType="begin"/>
      </w:r>
      <w:r>
        <w:instrText xml:space="preserve"> HYPERLINK "RTO%20Appeals%20OPP-POL009.docx" </w:instrText>
      </w:r>
      <w:r>
        <w:fldChar w:fldCharType="separate"/>
      </w:r>
      <w:bookmarkStart w:id="20" w:name="_Hlk80524848"/>
      <w:r w:rsidRPr="00F232D4">
        <w:rPr>
          <w:rStyle w:val="Hyperlink"/>
        </w:rPr>
        <w:t>RTO Appeals Policy</w:t>
      </w:r>
      <w:bookmarkEnd w:id="20"/>
      <w:r w:rsidRPr="00F232D4">
        <w:rPr>
          <w:rStyle w:val="Hyperlink"/>
        </w:rPr>
        <w:t>.</w:t>
      </w:r>
      <w:r>
        <w:fldChar w:fldCharType="end"/>
      </w:r>
    </w:p>
    <w:bookmarkEnd w:id="11"/>
    <w:bookmarkEnd w:id="18"/>
    <w:bookmarkEnd w:id="19"/>
    <w:p w14:paraId="56164341" w14:textId="02EEF67A" w:rsidR="003D71D9" w:rsidRPr="003D71D9" w:rsidRDefault="003D71D9" w:rsidP="003D71D9">
      <w:pPr>
        <w:ind w:left="716" w:hanging="432"/>
      </w:pPr>
      <w:r w:rsidRPr="003D71D9">
        <w:t>4.</w:t>
      </w:r>
      <w:r w:rsidR="004218E9">
        <w:t>8</w:t>
      </w:r>
      <w:r w:rsidRPr="003D71D9">
        <w:tab/>
        <w:t xml:space="preserve">This policy is available on our website at </w:t>
      </w:r>
      <w:hyperlink r:id="rId11" w:history="1">
        <w:r w:rsidRPr="003D71D9">
          <w:rPr>
            <w:b/>
            <w:color w:val="0000FF" w:themeColor="hyperlink"/>
            <w:u w:val="single"/>
          </w:rPr>
          <w:t>www.avidity.com.au</w:t>
        </w:r>
      </w:hyperlink>
      <w:r w:rsidRPr="003D71D9">
        <w:t xml:space="preserve"> and outlined in the </w:t>
      </w:r>
      <w:r w:rsidR="00EA0FDE">
        <w:t>L</w:t>
      </w:r>
      <w:r w:rsidR="00DB140F">
        <w:t xml:space="preserve">earner </w:t>
      </w:r>
      <w:r w:rsidRPr="003D71D9">
        <w:t>Handbook.</w:t>
      </w:r>
    </w:p>
    <w:p w14:paraId="2F1EEFE1" w14:textId="77777777" w:rsidR="003D71D9" w:rsidRPr="003D71D9" w:rsidRDefault="003D71D9" w:rsidP="003D71D9">
      <w:pPr>
        <w:keepNext/>
        <w:keepLines/>
        <w:numPr>
          <w:ilvl w:val="0"/>
          <w:numId w:val="19"/>
        </w:numPr>
        <w:spacing w:before="120" w:after="120"/>
        <w:ind w:left="720"/>
        <w:outlineLvl w:val="1"/>
        <w:rPr>
          <w:rFonts w:ascii="Calibri" w:eastAsia="Arial" w:hAnsi="Calibri" w:cstheme="majorBidi"/>
          <w:b/>
          <w:bCs/>
          <w:color w:val="B05230"/>
          <w:sz w:val="24"/>
          <w:szCs w:val="26"/>
          <w:lang w:eastAsia="en-AU"/>
        </w:rPr>
      </w:pPr>
      <w:r w:rsidRPr="003D71D9">
        <w:rPr>
          <w:rFonts w:ascii="Calibri" w:eastAsia="Arial" w:hAnsi="Calibri" w:cstheme="majorBidi"/>
          <w:b/>
          <w:bCs/>
          <w:color w:val="B05230"/>
          <w:sz w:val="24"/>
          <w:szCs w:val="26"/>
          <w:lang w:eastAsia="en-AU"/>
        </w:rPr>
        <w:lastRenderedPageBreak/>
        <w:t xml:space="preserve">Implementation </w:t>
      </w:r>
    </w:p>
    <w:bookmarkStart w:id="21" w:name="_Hlk79341057"/>
    <w:p w14:paraId="149918F2" w14:textId="77777777" w:rsidR="00D92330" w:rsidRDefault="00F15EA9" w:rsidP="00F15EA9">
      <w:pPr>
        <w:pStyle w:val="ListParagraph"/>
        <w:numPr>
          <w:ilvl w:val="0"/>
          <w:numId w:val="29"/>
        </w:numPr>
        <w:rPr>
          <w:color w:val="FF0000"/>
        </w:rPr>
      </w:pPr>
      <w:r>
        <w:fldChar w:fldCharType="begin"/>
      </w:r>
      <w:r>
        <w:instrText>HYPERLINK "C:\\Users\\carmen\\Avidity Group Dropbox\\Avidity Share\\@Master files\\@ AGQMS\\Frameworks\\Operations GOV-FW006\\FRM\\RTO Complaint OPP-FRM005.docx"</w:instrText>
      </w:r>
      <w:r>
        <w:fldChar w:fldCharType="separate"/>
      </w:r>
      <w:r w:rsidRPr="00F15EA9">
        <w:rPr>
          <w:rStyle w:val="Hyperlink"/>
        </w:rPr>
        <w:t>RTO Complaint Form</w:t>
      </w:r>
      <w:r>
        <w:fldChar w:fldCharType="end"/>
      </w:r>
      <w:r w:rsidRPr="00F15EA9">
        <w:rPr>
          <w:color w:val="FF0000"/>
        </w:rPr>
        <w:t xml:space="preserve"> </w:t>
      </w:r>
    </w:p>
    <w:p w14:paraId="5623F5F1" w14:textId="53A73182" w:rsidR="00F15EA9" w:rsidRPr="00F15EA9" w:rsidRDefault="000A350A" w:rsidP="00F15EA9">
      <w:pPr>
        <w:pStyle w:val="ListParagraph"/>
        <w:numPr>
          <w:ilvl w:val="0"/>
          <w:numId w:val="29"/>
        </w:numPr>
        <w:rPr>
          <w:color w:val="FF0000"/>
        </w:rPr>
      </w:pPr>
      <w:hyperlink r:id="rId12" w:history="1">
        <w:r w:rsidR="00F15EA9" w:rsidRPr="00F15EA9">
          <w:rPr>
            <w:rStyle w:val="Hyperlink"/>
          </w:rPr>
          <w:t>RTO Complaints and Appeals Management Process</w:t>
        </w:r>
      </w:hyperlink>
    </w:p>
    <w:p w14:paraId="60C9B71C" w14:textId="5023230A" w:rsidR="00F15EA9" w:rsidRPr="00F15EA9" w:rsidRDefault="000A350A" w:rsidP="00F15EA9">
      <w:pPr>
        <w:pStyle w:val="ListParagraph"/>
        <w:numPr>
          <w:ilvl w:val="0"/>
          <w:numId w:val="29"/>
        </w:numPr>
        <w:rPr>
          <w:color w:val="FF0000"/>
        </w:rPr>
      </w:pPr>
      <w:hyperlink r:id="rId13" w:history="1">
        <w:r w:rsidR="00F15EA9" w:rsidRPr="00F15EA9">
          <w:rPr>
            <w:rStyle w:val="Hyperlink"/>
          </w:rPr>
          <w:t>Formal Meeting Policy</w:t>
        </w:r>
      </w:hyperlink>
    </w:p>
    <w:p w14:paraId="0DFF6C88" w14:textId="77777777" w:rsidR="00D92330" w:rsidRDefault="000A350A" w:rsidP="00F15EA9">
      <w:pPr>
        <w:pStyle w:val="ListParagraph"/>
        <w:numPr>
          <w:ilvl w:val="0"/>
          <w:numId w:val="29"/>
        </w:numPr>
        <w:rPr>
          <w:color w:val="FF0000"/>
        </w:rPr>
      </w:pPr>
      <w:hyperlink r:id="rId14" w:history="1">
        <w:r w:rsidR="00F15EA9" w:rsidRPr="00F15EA9">
          <w:rPr>
            <w:rStyle w:val="Hyperlink"/>
          </w:rPr>
          <w:t xml:space="preserve">Risk Management Policy </w:t>
        </w:r>
      </w:hyperlink>
      <w:r w:rsidR="00F15EA9" w:rsidRPr="00F15EA9">
        <w:rPr>
          <w:color w:val="FF0000"/>
        </w:rPr>
        <w:t xml:space="preserve"> </w:t>
      </w:r>
    </w:p>
    <w:p w14:paraId="70537847" w14:textId="6F04162A" w:rsidR="003D71D9" w:rsidRDefault="000A350A" w:rsidP="00F15EA9">
      <w:pPr>
        <w:pStyle w:val="ListParagraph"/>
        <w:numPr>
          <w:ilvl w:val="0"/>
          <w:numId w:val="29"/>
        </w:numPr>
        <w:rPr>
          <w:color w:val="FF0000"/>
        </w:rPr>
      </w:pPr>
      <w:hyperlink r:id="rId15" w:history="1">
        <w:r w:rsidR="00F15EA9" w:rsidRPr="00F15EA9">
          <w:rPr>
            <w:rStyle w:val="Hyperlink"/>
          </w:rPr>
          <w:t xml:space="preserve">Continuous Improvement Policy  </w:t>
        </w:r>
      </w:hyperlink>
      <w:bookmarkEnd w:id="21"/>
      <w:r w:rsidR="003D71D9" w:rsidRPr="00F15EA9">
        <w:rPr>
          <w:color w:val="FF0000"/>
        </w:rPr>
        <w:t xml:space="preserve"> </w:t>
      </w:r>
    </w:p>
    <w:p w14:paraId="44B02AA0" w14:textId="35E7DC6A" w:rsidR="00F232D4" w:rsidRPr="00DF3831" w:rsidRDefault="000A350A" w:rsidP="00F15EA9">
      <w:pPr>
        <w:pStyle w:val="ListParagraph"/>
        <w:numPr>
          <w:ilvl w:val="0"/>
          <w:numId w:val="29"/>
        </w:numPr>
        <w:rPr>
          <w:rStyle w:val="Hyperlink"/>
          <w:color w:val="FF0000"/>
          <w:u w:val="none"/>
        </w:rPr>
      </w:pPr>
      <w:hyperlink r:id="rId16" w:history="1">
        <w:r w:rsidR="00F232D4" w:rsidRPr="00F232D4">
          <w:rPr>
            <w:rStyle w:val="Hyperlink"/>
          </w:rPr>
          <w:t>RTO Appeals Policy</w:t>
        </w:r>
      </w:hyperlink>
    </w:p>
    <w:p w14:paraId="1AFFA401" w14:textId="2FFAC77C" w:rsidR="00DF3831" w:rsidRPr="00F232D4" w:rsidRDefault="000A350A" w:rsidP="00F15EA9">
      <w:pPr>
        <w:pStyle w:val="ListParagraph"/>
        <w:numPr>
          <w:ilvl w:val="0"/>
          <w:numId w:val="29"/>
        </w:numPr>
        <w:rPr>
          <w:color w:val="FF0000"/>
        </w:rPr>
      </w:pPr>
      <w:hyperlink r:id="rId17" w:history="1">
        <w:r w:rsidR="00DF3831" w:rsidRPr="00DF3831">
          <w:rPr>
            <w:rStyle w:val="Hyperlink"/>
          </w:rPr>
          <w:t>Investigation Proce</w:t>
        </w:r>
        <w:r w:rsidR="00B153B0">
          <w:rPr>
            <w:rStyle w:val="Hyperlink"/>
          </w:rPr>
          <w:t>dure</w:t>
        </w:r>
      </w:hyperlink>
    </w:p>
    <w:p w14:paraId="5C64D495" w14:textId="77777777" w:rsidR="003D71D9" w:rsidRPr="003D71D9" w:rsidRDefault="003D71D9" w:rsidP="003D71D9">
      <w:pPr>
        <w:rPr>
          <w:lang w:eastAsia="en-AU"/>
        </w:rPr>
      </w:pPr>
    </w:p>
    <w:p w14:paraId="3567FD90" w14:textId="77777777" w:rsidR="00B130B8" w:rsidRDefault="00B130B8" w:rsidP="0062032E">
      <w:pPr>
        <w:ind w:firstLine="360"/>
        <w:rPr>
          <w:u w:color="000000"/>
          <w:lang w:eastAsia="en-AU"/>
        </w:rPr>
      </w:pPr>
    </w:p>
    <w:p w14:paraId="07CDA212" w14:textId="77777777" w:rsidR="00B130B8" w:rsidRDefault="00B130B8" w:rsidP="0062032E">
      <w:pPr>
        <w:ind w:firstLine="360"/>
        <w:rPr>
          <w:u w:color="000000"/>
          <w:lang w:eastAsia="en-AU"/>
        </w:rPr>
      </w:pPr>
    </w:p>
    <w:bookmarkEnd w:id="10"/>
    <w:p w14:paraId="4B67A888" w14:textId="77777777" w:rsidR="00E165BC" w:rsidRPr="00E165BC" w:rsidRDefault="00E165BC" w:rsidP="00E165BC">
      <w:pPr>
        <w:rPr>
          <w:lang w:eastAsia="en-AU"/>
        </w:rPr>
      </w:pPr>
    </w:p>
    <w:p w14:paraId="49B2B305" w14:textId="62B94916" w:rsidR="00E165BC" w:rsidRDefault="00E165BC" w:rsidP="00E165BC">
      <w:pPr>
        <w:rPr>
          <w:lang w:eastAsia="en-AU"/>
        </w:rPr>
      </w:pPr>
    </w:p>
    <w:p w14:paraId="7935CF78" w14:textId="20651FD0" w:rsidR="00E165BC" w:rsidRPr="00E165BC" w:rsidRDefault="00E165BC" w:rsidP="00E165BC">
      <w:pPr>
        <w:tabs>
          <w:tab w:val="left" w:pos="4297"/>
        </w:tabs>
        <w:rPr>
          <w:lang w:eastAsia="en-AU"/>
        </w:rPr>
      </w:pPr>
      <w:r>
        <w:rPr>
          <w:lang w:eastAsia="en-AU"/>
        </w:rPr>
        <w:tab/>
      </w:r>
    </w:p>
    <w:sectPr w:rsidR="00E165BC" w:rsidRPr="00E165BC" w:rsidSect="009A5AF3">
      <w:headerReference w:type="default" r:id="rId18"/>
      <w:footerReference w:type="default" r:id="rId1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E7BE0" w14:textId="77777777" w:rsidR="000A350A" w:rsidRDefault="000A350A" w:rsidP="009A5AF3">
      <w:r>
        <w:separator/>
      </w:r>
    </w:p>
  </w:endnote>
  <w:endnote w:type="continuationSeparator" w:id="0">
    <w:p w14:paraId="204C9B77" w14:textId="77777777" w:rsidR="000A350A" w:rsidRDefault="000A350A" w:rsidP="009A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40"/>
      <w:gridCol w:w="1498"/>
    </w:tblGrid>
    <w:tr w:rsidR="00D9671D" w14:paraId="4531A2D7" w14:textId="77777777" w:rsidTr="00360A33">
      <w:trPr>
        <w:trHeight w:val="537"/>
      </w:trPr>
      <w:tc>
        <w:tcPr>
          <w:tcW w:w="4223" w:type="pct"/>
          <w:vAlign w:val="center"/>
        </w:tcPr>
        <w:p w14:paraId="749C9CD8" w14:textId="77777777" w:rsidR="00D9671D" w:rsidRDefault="00D9671D" w:rsidP="00D9671D">
          <w:pPr>
            <w:pStyle w:val="Footer"/>
          </w:pPr>
          <w:bookmarkStart w:id="23" w:name="_Hlk65669582"/>
          <w:bookmarkStart w:id="24" w:name="_Hlk65669583"/>
          <w:bookmarkStart w:id="25" w:name="_Hlk65669584"/>
          <w:bookmarkStart w:id="26" w:name="_Hlk65669585"/>
          <w:bookmarkStart w:id="27" w:name="_Hlk65669652"/>
          <w:bookmarkStart w:id="28" w:name="_Hlk65669653"/>
          <w:bookmarkStart w:id="29" w:name="_Hlk65669654"/>
          <w:bookmarkStart w:id="30" w:name="_Hlk65669655"/>
          <w:r>
            <w:t xml:space="preserve">This document remains the property of the Avidity Group Pty Ltd </w:t>
          </w:r>
          <w:r>
            <w:rPr>
              <w:rFonts w:cs="Calibri"/>
            </w:rPr>
            <w:t>©</w:t>
          </w:r>
        </w:p>
      </w:tc>
      <w:tc>
        <w:tcPr>
          <w:tcW w:w="777" w:type="pct"/>
          <w:vAlign w:val="center"/>
        </w:tcPr>
        <w:p w14:paraId="3739F325" w14:textId="77777777" w:rsidR="00D9671D" w:rsidRDefault="00D9671D" w:rsidP="00D9671D">
          <w:pPr>
            <w:pStyle w:val="Foo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1C40E820" w14:textId="77777777" w:rsidR="004D4BEE" w:rsidRPr="00D9671D" w:rsidRDefault="004D4BEE" w:rsidP="00D9671D">
    <w:pPr>
      <w:pStyle w:val="Footer"/>
    </w:pPr>
  </w:p>
  <w:bookmarkEnd w:id="23"/>
  <w:bookmarkEnd w:id="24"/>
  <w:bookmarkEnd w:id="25"/>
  <w:bookmarkEnd w:id="26"/>
  <w:bookmarkEnd w:id="27"/>
  <w:bookmarkEnd w:id="28"/>
  <w:bookmarkEnd w:id="29"/>
  <w:bookmarkEnd w:id="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4E32" w14:textId="77777777" w:rsidR="000A350A" w:rsidRDefault="000A350A" w:rsidP="009A5AF3">
      <w:r>
        <w:separator/>
      </w:r>
    </w:p>
  </w:footnote>
  <w:footnote w:type="continuationSeparator" w:id="0">
    <w:p w14:paraId="66789C22" w14:textId="77777777" w:rsidR="000A350A" w:rsidRDefault="000A350A" w:rsidP="009A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5000" w:type="pct"/>
      <w:tblLook w:val="04A0" w:firstRow="1" w:lastRow="0" w:firstColumn="1" w:lastColumn="0" w:noHBand="0" w:noVBand="1"/>
    </w:tblPr>
    <w:tblGrid>
      <w:gridCol w:w="6326"/>
      <w:gridCol w:w="1779"/>
      <w:gridCol w:w="1523"/>
    </w:tblGrid>
    <w:tr w:rsidR="004D4BEE" w:rsidRPr="004D4BEE" w14:paraId="1E29BB70" w14:textId="77777777" w:rsidTr="004D4BEE">
      <w:trPr>
        <w:trHeight w:val="20"/>
      </w:trPr>
      <w:tc>
        <w:tcPr>
          <w:tcW w:w="3285" w:type="pct"/>
          <w:shd w:val="clear" w:color="auto" w:fill="D9D9D9"/>
        </w:tcPr>
        <w:p w14:paraId="4966C873" w14:textId="77777777" w:rsidR="004D4BEE" w:rsidRPr="004D4BEE" w:rsidRDefault="004D4BEE" w:rsidP="004D4BEE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bookmarkStart w:id="22" w:name="_Hlk65669535"/>
          <w:r w:rsidRPr="004D4BEE">
            <w:rPr>
              <w:rFonts w:ascii="Calibri" w:eastAsia="Arial" w:hAnsi="Calibri" w:cs="Arial"/>
              <w:b/>
              <w:color w:val="000000"/>
              <w:sz w:val="20"/>
              <w:szCs w:val="20"/>
            </w:rPr>
            <w:t>Document Title:</w:t>
          </w:r>
        </w:p>
      </w:tc>
      <w:tc>
        <w:tcPr>
          <w:tcW w:w="924" w:type="pct"/>
          <w:shd w:val="clear" w:color="auto" w:fill="D9D9D9"/>
        </w:tcPr>
        <w:p w14:paraId="0724CE67" w14:textId="77777777" w:rsidR="004D4BEE" w:rsidRPr="004D4BEE" w:rsidRDefault="004D4BEE" w:rsidP="004D4BEE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r w:rsidRPr="004D4BEE">
            <w:rPr>
              <w:rFonts w:ascii="Calibri" w:eastAsia="Arial" w:hAnsi="Calibri" w:cs="Arial"/>
              <w:b/>
              <w:color w:val="000000"/>
              <w:sz w:val="20"/>
              <w:szCs w:val="20"/>
            </w:rPr>
            <w:t>Document Code:</w:t>
          </w:r>
        </w:p>
      </w:tc>
      <w:tc>
        <w:tcPr>
          <w:tcW w:w="791" w:type="pct"/>
        </w:tcPr>
        <w:p w14:paraId="2A0F0B1A" w14:textId="01F185EC" w:rsidR="004D4BEE" w:rsidRPr="004D4BEE" w:rsidRDefault="007F76D1" w:rsidP="009543D0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r>
            <w:rPr>
              <w:rFonts w:ascii="Calibri" w:eastAsia="Arial" w:hAnsi="Calibri" w:cs="Arial"/>
              <w:color w:val="000000"/>
              <w:sz w:val="20"/>
              <w:szCs w:val="20"/>
            </w:rPr>
            <w:t>OPP</w:t>
          </w:r>
          <w:r w:rsidR="009543D0">
            <w:rPr>
              <w:rFonts w:ascii="Calibri" w:eastAsia="Arial" w:hAnsi="Calibri" w:cs="Arial"/>
              <w:color w:val="000000"/>
              <w:sz w:val="20"/>
              <w:szCs w:val="20"/>
            </w:rPr>
            <w:t>-POL0</w:t>
          </w:r>
          <w:r w:rsidR="00BF09EC">
            <w:rPr>
              <w:rFonts w:ascii="Calibri" w:eastAsia="Arial" w:hAnsi="Calibri" w:cs="Arial"/>
              <w:color w:val="000000"/>
              <w:sz w:val="20"/>
              <w:szCs w:val="20"/>
            </w:rPr>
            <w:t>1</w:t>
          </w:r>
          <w:r w:rsidR="003D71D9">
            <w:rPr>
              <w:rFonts w:ascii="Calibri" w:eastAsia="Arial" w:hAnsi="Calibri" w:cs="Arial"/>
              <w:color w:val="000000"/>
              <w:sz w:val="20"/>
              <w:szCs w:val="20"/>
            </w:rPr>
            <w:t>2</w:t>
          </w:r>
        </w:p>
      </w:tc>
    </w:tr>
    <w:tr w:rsidR="004D4BEE" w:rsidRPr="004D4BEE" w14:paraId="55B80F46" w14:textId="77777777" w:rsidTr="004D4BEE">
      <w:trPr>
        <w:trHeight w:val="20"/>
      </w:trPr>
      <w:sdt>
        <w:sdtPr>
          <w:rPr>
            <w:rFonts w:ascii="Calibri" w:eastAsia="Arial" w:hAnsi="Calibri" w:cs="Arial"/>
            <w:color w:val="000000"/>
            <w:sz w:val="20"/>
            <w:szCs w:val="20"/>
          </w:rPr>
          <w:alias w:val="Title"/>
          <w:tag w:val=""/>
          <w:id w:val="-1637876544"/>
          <w:placeholder>
            <w:docPart w:val="AC6264619D824840BE64AFA48EBEA26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85" w:type="pct"/>
              <w:vMerge w:val="restart"/>
              <w:vAlign w:val="center"/>
            </w:tcPr>
            <w:p w14:paraId="42088D1B" w14:textId="24CE09B2" w:rsidR="004D4BEE" w:rsidRPr="004D4BEE" w:rsidRDefault="007F76D1" w:rsidP="004D4BEE">
              <w:pPr>
                <w:spacing w:after="5" w:line="249" w:lineRule="auto"/>
                <w:rPr>
                  <w:rFonts w:ascii="Calibri" w:eastAsia="Arial" w:hAnsi="Calibri" w:cs="Arial"/>
                  <w:color w:val="000000"/>
                  <w:sz w:val="20"/>
                  <w:szCs w:val="20"/>
                </w:rPr>
              </w:pPr>
              <w:r>
                <w:rPr>
                  <w:rFonts w:ascii="Calibri" w:eastAsia="Arial" w:hAnsi="Calibri" w:cs="Arial"/>
                  <w:color w:val="000000"/>
                  <w:sz w:val="20"/>
                  <w:szCs w:val="20"/>
                </w:rPr>
                <w:t xml:space="preserve">RTO </w:t>
              </w:r>
              <w:r w:rsidR="009543D0">
                <w:rPr>
                  <w:rFonts w:ascii="Calibri" w:eastAsia="Arial" w:hAnsi="Calibri" w:cs="Arial"/>
                  <w:color w:val="000000"/>
                  <w:sz w:val="20"/>
                  <w:szCs w:val="20"/>
                </w:rPr>
                <w:t>Complaints Policy</w:t>
              </w:r>
            </w:p>
          </w:tc>
        </w:sdtContent>
      </w:sdt>
      <w:tc>
        <w:tcPr>
          <w:tcW w:w="924" w:type="pct"/>
          <w:shd w:val="clear" w:color="auto" w:fill="D9D9D9"/>
        </w:tcPr>
        <w:p w14:paraId="5D1A2158" w14:textId="210C83DB" w:rsidR="004D4BEE" w:rsidRPr="004D4BEE" w:rsidRDefault="004D4BEE" w:rsidP="004D4BEE">
          <w:pPr>
            <w:spacing w:after="5" w:line="249" w:lineRule="auto"/>
            <w:rPr>
              <w:rFonts w:ascii="Calibri" w:eastAsia="Arial" w:hAnsi="Calibri" w:cs="Arial"/>
              <w:b/>
              <w:color w:val="000000"/>
              <w:sz w:val="20"/>
              <w:szCs w:val="20"/>
            </w:rPr>
          </w:pPr>
          <w:r w:rsidRPr="004D4BEE">
            <w:rPr>
              <w:rFonts w:ascii="Calibri" w:eastAsia="Arial" w:hAnsi="Calibri" w:cs="Arial"/>
              <w:b/>
              <w:color w:val="000000"/>
              <w:sz w:val="20"/>
              <w:szCs w:val="20"/>
            </w:rPr>
            <w:t>Date:</w:t>
          </w:r>
        </w:p>
      </w:tc>
      <w:tc>
        <w:tcPr>
          <w:tcW w:w="791" w:type="pct"/>
        </w:tcPr>
        <w:p w14:paraId="4E7E1352" w14:textId="2556BFE5" w:rsidR="004D4BEE" w:rsidRPr="004D4BEE" w:rsidRDefault="00FE0788" w:rsidP="004D4BEE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r>
            <w:rPr>
              <w:rFonts w:ascii="Calibri" w:eastAsia="Arial" w:hAnsi="Calibri" w:cs="Arial"/>
              <w:color w:val="000000"/>
              <w:sz w:val="20"/>
              <w:szCs w:val="20"/>
            </w:rPr>
            <w:t>15</w:t>
          </w:r>
          <w:r w:rsidR="007F76D1">
            <w:rPr>
              <w:rFonts w:ascii="Calibri" w:eastAsia="Arial" w:hAnsi="Calibri" w:cs="Arial"/>
              <w:color w:val="000000"/>
              <w:sz w:val="20"/>
              <w:szCs w:val="20"/>
            </w:rPr>
            <w:t>/8/21</w:t>
          </w:r>
        </w:p>
      </w:tc>
    </w:tr>
    <w:tr w:rsidR="004D4BEE" w:rsidRPr="004D4BEE" w14:paraId="7F6FEC03" w14:textId="77777777" w:rsidTr="004D4BEE">
      <w:trPr>
        <w:trHeight w:val="20"/>
      </w:trPr>
      <w:tc>
        <w:tcPr>
          <w:tcW w:w="3285" w:type="pct"/>
          <w:vMerge/>
        </w:tcPr>
        <w:p w14:paraId="112ECC25" w14:textId="77777777" w:rsidR="004D4BEE" w:rsidRPr="004D4BEE" w:rsidRDefault="004D4BEE" w:rsidP="004D4BEE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</w:p>
      </w:tc>
      <w:tc>
        <w:tcPr>
          <w:tcW w:w="924" w:type="pct"/>
          <w:shd w:val="clear" w:color="auto" w:fill="D9D9D9"/>
        </w:tcPr>
        <w:p w14:paraId="4B5A6781" w14:textId="77777777" w:rsidR="004D4BEE" w:rsidRPr="004D4BEE" w:rsidRDefault="004D4BEE" w:rsidP="004D4BEE">
          <w:pPr>
            <w:spacing w:after="5" w:line="249" w:lineRule="auto"/>
            <w:rPr>
              <w:rFonts w:ascii="Calibri" w:eastAsia="Arial" w:hAnsi="Calibri" w:cs="Arial"/>
              <w:b/>
              <w:color w:val="000000"/>
              <w:sz w:val="20"/>
              <w:szCs w:val="20"/>
            </w:rPr>
          </w:pPr>
          <w:r w:rsidRPr="004D4BEE">
            <w:rPr>
              <w:rFonts w:ascii="Calibri" w:eastAsia="Arial" w:hAnsi="Calibri" w:cs="Arial"/>
              <w:b/>
              <w:color w:val="000000"/>
              <w:sz w:val="20"/>
              <w:szCs w:val="20"/>
            </w:rPr>
            <w:t>Status/Version:</w:t>
          </w:r>
        </w:p>
      </w:tc>
      <w:tc>
        <w:tcPr>
          <w:tcW w:w="791" w:type="pct"/>
        </w:tcPr>
        <w:p w14:paraId="6641A550" w14:textId="059F4444" w:rsidR="004D4BEE" w:rsidRPr="004D4BEE" w:rsidRDefault="00FE0788" w:rsidP="004D4BEE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r>
            <w:rPr>
              <w:rFonts w:ascii="Calibri" w:eastAsia="Arial" w:hAnsi="Calibri" w:cs="Arial"/>
              <w:color w:val="000000"/>
              <w:sz w:val="20"/>
              <w:szCs w:val="20"/>
            </w:rPr>
            <w:t>V1</w:t>
          </w:r>
        </w:p>
      </w:tc>
    </w:tr>
    <w:bookmarkEnd w:id="22"/>
  </w:tbl>
  <w:p w14:paraId="03BE3C42" w14:textId="77777777" w:rsidR="004D4BEE" w:rsidRDefault="004D4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650"/>
    <w:multiLevelType w:val="multilevel"/>
    <w:tmpl w:val="494A15E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D17D4"/>
    <w:multiLevelType w:val="multilevel"/>
    <w:tmpl w:val="CCDE1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A05FAB"/>
    <w:multiLevelType w:val="hybridMultilevel"/>
    <w:tmpl w:val="C94CE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5EB"/>
    <w:multiLevelType w:val="hybridMultilevel"/>
    <w:tmpl w:val="7F6C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6AF6"/>
    <w:multiLevelType w:val="hybridMultilevel"/>
    <w:tmpl w:val="4DA2C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846"/>
    <w:multiLevelType w:val="multilevel"/>
    <w:tmpl w:val="FE080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EE733BE"/>
    <w:multiLevelType w:val="hybridMultilevel"/>
    <w:tmpl w:val="6C882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B2775"/>
    <w:multiLevelType w:val="hybridMultilevel"/>
    <w:tmpl w:val="B93CAD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F4A42"/>
    <w:multiLevelType w:val="hybridMultilevel"/>
    <w:tmpl w:val="2E84E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53043"/>
    <w:multiLevelType w:val="hybridMultilevel"/>
    <w:tmpl w:val="81CA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2A10"/>
    <w:multiLevelType w:val="hybridMultilevel"/>
    <w:tmpl w:val="DF44C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63DF9"/>
    <w:multiLevelType w:val="hybridMultilevel"/>
    <w:tmpl w:val="5A58778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8963A8"/>
    <w:multiLevelType w:val="hybridMultilevel"/>
    <w:tmpl w:val="D402F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1DD"/>
    <w:multiLevelType w:val="hybridMultilevel"/>
    <w:tmpl w:val="E2C4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94B6B"/>
    <w:multiLevelType w:val="multilevel"/>
    <w:tmpl w:val="F9CC9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D8758A"/>
    <w:multiLevelType w:val="hybridMultilevel"/>
    <w:tmpl w:val="3184F680"/>
    <w:lvl w:ilvl="0" w:tplc="58DC53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F83886"/>
    <w:multiLevelType w:val="multilevel"/>
    <w:tmpl w:val="CCDE1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394D8F"/>
    <w:multiLevelType w:val="hybridMultilevel"/>
    <w:tmpl w:val="CBA05724"/>
    <w:lvl w:ilvl="0" w:tplc="7A2A3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B6307"/>
    <w:multiLevelType w:val="hybridMultilevel"/>
    <w:tmpl w:val="96247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F7EE5"/>
    <w:multiLevelType w:val="multilevel"/>
    <w:tmpl w:val="D4FE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B12E2C"/>
    <w:multiLevelType w:val="hybridMultilevel"/>
    <w:tmpl w:val="803CEA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240A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237F03"/>
    <w:multiLevelType w:val="multilevel"/>
    <w:tmpl w:val="CCDE1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C00B64"/>
    <w:multiLevelType w:val="multilevel"/>
    <w:tmpl w:val="CCDE1D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D543B"/>
    <w:multiLevelType w:val="hybridMultilevel"/>
    <w:tmpl w:val="5DA63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A73FB"/>
    <w:multiLevelType w:val="hybridMultilevel"/>
    <w:tmpl w:val="4BFA3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4671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F50DD6"/>
    <w:multiLevelType w:val="hybridMultilevel"/>
    <w:tmpl w:val="1B3E8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6787E"/>
    <w:multiLevelType w:val="multilevel"/>
    <w:tmpl w:val="CCDE1D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DD374F"/>
    <w:multiLevelType w:val="hybridMultilevel"/>
    <w:tmpl w:val="44C6EE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6D7F5A"/>
    <w:multiLevelType w:val="multilevel"/>
    <w:tmpl w:val="E908986E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cstheme="minorBid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cstheme="minorBid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cstheme="minorBid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cstheme="minorBid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cstheme="minorBidi" w:hint="default"/>
        <w:b w:val="0"/>
        <w:color w:val="auto"/>
      </w:rPr>
    </w:lvl>
  </w:abstractNum>
  <w:abstractNum w:abstractNumId="31" w15:restartNumberingAfterBreak="0">
    <w:nsid w:val="78D4259E"/>
    <w:multiLevelType w:val="hybridMultilevel"/>
    <w:tmpl w:val="CAA6EF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21"/>
  </w:num>
  <w:num w:numId="5">
    <w:abstractNumId w:val="26"/>
  </w:num>
  <w:num w:numId="6">
    <w:abstractNumId w:val="22"/>
  </w:num>
  <w:num w:numId="7">
    <w:abstractNumId w:val="1"/>
  </w:num>
  <w:num w:numId="8">
    <w:abstractNumId w:val="16"/>
  </w:num>
  <w:num w:numId="9">
    <w:abstractNumId w:val="23"/>
  </w:num>
  <w:num w:numId="10">
    <w:abstractNumId w:val="28"/>
  </w:num>
  <w:num w:numId="11">
    <w:abstractNumId w:val="13"/>
  </w:num>
  <w:num w:numId="12">
    <w:abstractNumId w:val="9"/>
  </w:num>
  <w:num w:numId="13">
    <w:abstractNumId w:val="2"/>
  </w:num>
  <w:num w:numId="14">
    <w:abstractNumId w:val="24"/>
  </w:num>
  <w:num w:numId="15">
    <w:abstractNumId w:val="25"/>
  </w:num>
  <w:num w:numId="16">
    <w:abstractNumId w:val="27"/>
  </w:num>
  <w:num w:numId="17">
    <w:abstractNumId w:val="4"/>
  </w:num>
  <w:num w:numId="18">
    <w:abstractNumId w:val="3"/>
  </w:num>
  <w:num w:numId="19">
    <w:abstractNumId w:val="0"/>
  </w:num>
  <w:num w:numId="20">
    <w:abstractNumId w:val="30"/>
  </w:num>
  <w:num w:numId="21">
    <w:abstractNumId w:val="31"/>
  </w:num>
  <w:num w:numId="22">
    <w:abstractNumId w:val="29"/>
  </w:num>
  <w:num w:numId="23">
    <w:abstractNumId w:val="8"/>
  </w:num>
  <w:num w:numId="24">
    <w:abstractNumId w:val="14"/>
  </w:num>
  <w:num w:numId="25">
    <w:abstractNumId w:val="19"/>
  </w:num>
  <w:num w:numId="26">
    <w:abstractNumId w:val="11"/>
  </w:num>
  <w:num w:numId="27">
    <w:abstractNumId w:val="10"/>
  </w:num>
  <w:num w:numId="28">
    <w:abstractNumId w:val="7"/>
  </w:num>
  <w:num w:numId="29">
    <w:abstractNumId w:val="17"/>
  </w:num>
  <w:num w:numId="30">
    <w:abstractNumId w:val="15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35"/>
    <w:rsid w:val="0007018D"/>
    <w:rsid w:val="0007081F"/>
    <w:rsid w:val="000A154F"/>
    <w:rsid w:val="000A350A"/>
    <w:rsid w:val="0012487B"/>
    <w:rsid w:val="001359C9"/>
    <w:rsid w:val="001574A6"/>
    <w:rsid w:val="0016368B"/>
    <w:rsid w:val="0016727B"/>
    <w:rsid w:val="001B2DAA"/>
    <w:rsid w:val="001C7587"/>
    <w:rsid w:val="001D786B"/>
    <w:rsid w:val="002071D2"/>
    <w:rsid w:val="00232F02"/>
    <w:rsid w:val="00264805"/>
    <w:rsid w:val="00282C69"/>
    <w:rsid w:val="002B0DD9"/>
    <w:rsid w:val="002C25F2"/>
    <w:rsid w:val="002C2A54"/>
    <w:rsid w:val="002E6AF3"/>
    <w:rsid w:val="002F308F"/>
    <w:rsid w:val="00306093"/>
    <w:rsid w:val="003472E7"/>
    <w:rsid w:val="00353215"/>
    <w:rsid w:val="00360A33"/>
    <w:rsid w:val="00382A1E"/>
    <w:rsid w:val="0038583D"/>
    <w:rsid w:val="003A1905"/>
    <w:rsid w:val="003B53B0"/>
    <w:rsid w:val="003D71D9"/>
    <w:rsid w:val="003E4C1E"/>
    <w:rsid w:val="003E5D1F"/>
    <w:rsid w:val="004003E8"/>
    <w:rsid w:val="00402E96"/>
    <w:rsid w:val="00413970"/>
    <w:rsid w:val="004218E9"/>
    <w:rsid w:val="00431F4D"/>
    <w:rsid w:val="00436383"/>
    <w:rsid w:val="00491958"/>
    <w:rsid w:val="00494F40"/>
    <w:rsid w:val="004A7E6A"/>
    <w:rsid w:val="004D4BEE"/>
    <w:rsid w:val="004F6486"/>
    <w:rsid w:val="0050174D"/>
    <w:rsid w:val="005526F5"/>
    <w:rsid w:val="00553F72"/>
    <w:rsid w:val="005953C5"/>
    <w:rsid w:val="005B37E4"/>
    <w:rsid w:val="0062032E"/>
    <w:rsid w:val="006328AF"/>
    <w:rsid w:val="006527CE"/>
    <w:rsid w:val="00664D78"/>
    <w:rsid w:val="0068505F"/>
    <w:rsid w:val="006A251C"/>
    <w:rsid w:val="006C6A35"/>
    <w:rsid w:val="00740AF9"/>
    <w:rsid w:val="00750D23"/>
    <w:rsid w:val="00766D3F"/>
    <w:rsid w:val="00791475"/>
    <w:rsid w:val="00797083"/>
    <w:rsid w:val="007C2809"/>
    <w:rsid w:val="007D542F"/>
    <w:rsid w:val="007F76D1"/>
    <w:rsid w:val="00861B61"/>
    <w:rsid w:val="00865993"/>
    <w:rsid w:val="008713E8"/>
    <w:rsid w:val="008756A3"/>
    <w:rsid w:val="0087615A"/>
    <w:rsid w:val="008A1FB1"/>
    <w:rsid w:val="008A5860"/>
    <w:rsid w:val="008A7EE9"/>
    <w:rsid w:val="008F1714"/>
    <w:rsid w:val="00942C70"/>
    <w:rsid w:val="00946B2A"/>
    <w:rsid w:val="009543D0"/>
    <w:rsid w:val="0099383E"/>
    <w:rsid w:val="00996FAC"/>
    <w:rsid w:val="009A11BF"/>
    <w:rsid w:val="009A5AF3"/>
    <w:rsid w:val="009B52B1"/>
    <w:rsid w:val="009C6530"/>
    <w:rsid w:val="009E4617"/>
    <w:rsid w:val="009E4ABE"/>
    <w:rsid w:val="009F594A"/>
    <w:rsid w:val="00A040CB"/>
    <w:rsid w:val="00A47C4A"/>
    <w:rsid w:val="00A753B9"/>
    <w:rsid w:val="00A82037"/>
    <w:rsid w:val="00A93997"/>
    <w:rsid w:val="00AE56AD"/>
    <w:rsid w:val="00AE5A7B"/>
    <w:rsid w:val="00B130B8"/>
    <w:rsid w:val="00B153B0"/>
    <w:rsid w:val="00B15926"/>
    <w:rsid w:val="00B31713"/>
    <w:rsid w:val="00B416CC"/>
    <w:rsid w:val="00B43635"/>
    <w:rsid w:val="00B549B5"/>
    <w:rsid w:val="00BB097A"/>
    <w:rsid w:val="00BB3C52"/>
    <w:rsid w:val="00BB7273"/>
    <w:rsid w:val="00BF09EC"/>
    <w:rsid w:val="00BF0DA4"/>
    <w:rsid w:val="00C0756A"/>
    <w:rsid w:val="00C4260C"/>
    <w:rsid w:val="00C62E04"/>
    <w:rsid w:val="00C91BE8"/>
    <w:rsid w:val="00C96BD0"/>
    <w:rsid w:val="00CA591B"/>
    <w:rsid w:val="00CC390A"/>
    <w:rsid w:val="00CF53B9"/>
    <w:rsid w:val="00D17F9A"/>
    <w:rsid w:val="00D35FB7"/>
    <w:rsid w:val="00D46404"/>
    <w:rsid w:val="00D67445"/>
    <w:rsid w:val="00D7797E"/>
    <w:rsid w:val="00D92330"/>
    <w:rsid w:val="00D9671D"/>
    <w:rsid w:val="00DB140F"/>
    <w:rsid w:val="00DB5DCA"/>
    <w:rsid w:val="00DD79BB"/>
    <w:rsid w:val="00DF3831"/>
    <w:rsid w:val="00E01ED6"/>
    <w:rsid w:val="00E05D80"/>
    <w:rsid w:val="00E165BC"/>
    <w:rsid w:val="00E178D8"/>
    <w:rsid w:val="00E26E3E"/>
    <w:rsid w:val="00E3218F"/>
    <w:rsid w:val="00E47530"/>
    <w:rsid w:val="00E85700"/>
    <w:rsid w:val="00E87C06"/>
    <w:rsid w:val="00E9526E"/>
    <w:rsid w:val="00EA0FDE"/>
    <w:rsid w:val="00EB618B"/>
    <w:rsid w:val="00EC6B30"/>
    <w:rsid w:val="00EE4A1C"/>
    <w:rsid w:val="00F06C7D"/>
    <w:rsid w:val="00F1470F"/>
    <w:rsid w:val="00F15EA9"/>
    <w:rsid w:val="00F21335"/>
    <w:rsid w:val="00F232D4"/>
    <w:rsid w:val="00F652CA"/>
    <w:rsid w:val="00F84413"/>
    <w:rsid w:val="00FD0D11"/>
    <w:rsid w:val="00FD3500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B445"/>
  <w15:docId w15:val="{2574BB7F-C87E-4BBE-804A-F89BFE9D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3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1FB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b/>
      <w:bCs/>
      <w:color w:val="A2292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DA4"/>
    <w:pPr>
      <w:keepNext/>
      <w:keepLines/>
      <w:numPr>
        <w:numId w:val="19"/>
      </w:numPr>
      <w:spacing w:before="120" w:after="120"/>
      <w:ind w:left="720"/>
      <w:outlineLvl w:val="1"/>
    </w:pPr>
    <w:rPr>
      <w:rFonts w:ascii="Calibri" w:eastAsia="Arial" w:hAnsi="Calibri" w:cstheme="majorBidi"/>
      <w:b/>
      <w:bCs/>
      <w:color w:val="B05230"/>
      <w:sz w:val="24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54F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6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B1"/>
    <w:rPr>
      <w:rFonts w:ascii="Calibri" w:eastAsiaTheme="majorEastAsia" w:hAnsi="Calibri" w:cstheme="majorBidi"/>
      <w:b/>
      <w:bCs/>
      <w:color w:val="A2292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0DA4"/>
    <w:rPr>
      <w:rFonts w:ascii="Calibri" w:eastAsia="Arial" w:hAnsi="Calibri" w:cstheme="majorBidi"/>
      <w:b/>
      <w:bCs/>
      <w:color w:val="B05230"/>
      <w:sz w:val="24"/>
      <w:szCs w:val="26"/>
      <w:lang w:eastAsia="en-AU"/>
    </w:rPr>
  </w:style>
  <w:style w:type="table" w:styleId="TableGrid">
    <w:name w:val="Table Grid"/>
    <w:basedOn w:val="TableNormal"/>
    <w:rsid w:val="00C9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5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154F"/>
    <w:rPr>
      <w:rFonts w:ascii="Calibri" w:eastAsiaTheme="majorEastAsia" w:hAnsi="Calibr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9A5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AF3"/>
  </w:style>
  <w:style w:type="paragraph" w:styleId="Footer">
    <w:name w:val="footer"/>
    <w:basedOn w:val="Normal"/>
    <w:link w:val="FooterChar"/>
    <w:uiPriority w:val="99"/>
    <w:unhideWhenUsed/>
    <w:rsid w:val="009A5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F3"/>
  </w:style>
  <w:style w:type="paragraph" w:styleId="BalloonText">
    <w:name w:val="Balloon Text"/>
    <w:basedOn w:val="Normal"/>
    <w:link w:val="BalloonTextChar"/>
    <w:uiPriority w:val="99"/>
    <w:semiHidden/>
    <w:unhideWhenUsed/>
    <w:rsid w:val="009A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D7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6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1">
    <w:name w:val="Table Grid1"/>
    <w:basedOn w:val="TableNormal"/>
    <w:next w:val="TableGrid"/>
    <w:rsid w:val="008756A3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D4BEE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36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1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Governance%20GOV-FW001/POL/Formal%20Meeting%20GOV-POL014.docx" TargetMode="External"/><Relationship Id="rId13" Type="http://schemas.openxmlformats.org/officeDocument/2006/relationships/hyperlink" Target="file:///C:\Users\carmen\Avidity%20Group%20Dropbox\Avidity%20Share\@Master%20files\@%20AGQMS\Frameworks\Governance%20GOV-FW001\POL\Formal%20Meeting%20GOV-POL014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file:///C:\Users\carmen\Avidity%20Group%20Dropbox\Avidity%20Share\@Master%20files\@%20AGQMS\Frameworks\Operations%20GOV-FW006\PRS\RTO%20Compliants%20and%20Appeals%20Management%20OPP-PRS027.docx" TargetMode="External"/><Relationship Id="rId17" Type="http://schemas.openxmlformats.org/officeDocument/2006/relationships/hyperlink" Target="file:///C:\Users\carmen\Avidity%20Group%20Dropbox\Avidity%20Share\@Master%20files\@%20AGQMS\Frameworks\Operations%20GOV-FW006\PRS\Investigation%20OPP-PRS02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armen\Avidity%20Group%20Dropbox\Avidity%20Share\@Master%20files\@%20AGQMS\Frameworks\Operations%20GOV-FW006\POL\RTO%20Appeals%20OPP-POL009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idity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armen\Avidity%20Group%20Dropbox\Avidity%20Share\@Master%20files\@%20AGQMS\Frameworks\Governance%20GOV-FW001\POL\Continuous%20Improvement%20GOV-POL009.docx" TargetMode="External"/><Relationship Id="rId10" Type="http://schemas.openxmlformats.org/officeDocument/2006/relationships/hyperlink" Target="../../Governance%20GOV-FW001/POL/Continuous%20Improvement%20GOV-POL009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Governance%20GOV-FW001/POL/Risk%20Management%20GOV-POL020.docx" TargetMode="External"/><Relationship Id="rId14" Type="http://schemas.openxmlformats.org/officeDocument/2006/relationships/hyperlink" Target="file:///C:\Users\carmen\Avidity%20Group%20Dropbox\Avidity%20Share\@Master%20files\@%20AGQMS\Frameworks\Governance%20GOV-FW001\POL\Risk%20Management%20GOV-POL020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vidity%20Group%20Dropbox\Avidity%20Share\Flywheel%20Project\Avidity%20Keystone\Governance%20Framework%202021\TMP\Policy%20Template%20QLT-TMP001.D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264619D824840BE64AFA48EBE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7BAC-F4AA-40DD-834D-4AF6D884C1DD}"/>
      </w:docPartPr>
      <w:docPartBody>
        <w:p w:rsidR="006E69D4" w:rsidRDefault="00304574">
          <w:r w:rsidRPr="0004745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5"/>
    <w:rsid w:val="000C1002"/>
    <w:rsid w:val="001B32A8"/>
    <w:rsid w:val="00304574"/>
    <w:rsid w:val="0042422D"/>
    <w:rsid w:val="00453D15"/>
    <w:rsid w:val="0049020A"/>
    <w:rsid w:val="004D224C"/>
    <w:rsid w:val="00527A6D"/>
    <w:rsid w:val="0053154F"/>
    <w:rsid w:val="006E69D4"/>
    <w:rsid w:val="00757A56"/>
    <w:rsid w:val="007759D4"/>
    <w:rsid w:val="008E19EE"/>
    <w:rsid w:val="008F762B"/>
    <w:rsid w:val="009155D2"/>
    <w:rsid w:val="009C2175"/>
    <w:rsid w:val="00A27315"/>
    <w:rsid w:val="00BF3EDA"/>
    <w:rsid w:val="00CB05BE"/>
    <w:rsid w:val="00CE1539"/>
    <w:rsid w:val="00E072C1"/>
    <w:rsid w:val="00E7595A"/>
    <w:rsid w:val="00EB30DE"/>
    <w:rsid w:val="00F4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D1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F395-F976-4C37-8520-23467204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QLT-TMP001.D1.dotx</Template>
  <TotalTime>266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RTO Complaints Policy</vt:lpstr>
      <vt:lpstr>RTO Complaints Policy </vt:lpstr>
      <vt:lpstr>    Intent 	</vt:lpstr>
      <vt:lpstr>    Definitions </vt:lpstr>
      <vt:lpstr>    For the purposes of clarity, the Avidity Group maintains a Glossary Handbook of </vt:lpstr>
      <vt:lpstr>    Scope </vt:lpstr>
      <vt:lpstr>    Policy Statement </vt:lpstr>
      <vt:lpstr>    Implementation 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RTO Complaints Policy</dc:title>
  <dc:subject/>
  <dc:creator>Carmen Gumley</dc:creator>
  <cp:keywords/>
  <dc:description/>
  <cp:lastModifiedBy>Carmen Gumley</cp:lastModifiedBy>
  <cp:revision>14</cp:revision>
  <cp:lastPrinted>2016-05-12T01:20:00Z</cp:lastPrinted>
  <dcterms:created xsi:type="dcterms:W3CDTF">2021-08-08T07:30:00Z</dcterms:created>
  <dcterms:modified xsi:type="dcterms:W3CDTF">2022-01-10T23:29:00Z</dcterms:modified>
</cp:coreProperties>
</file>